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37/2012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апреля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«ЭнергоПромСтрой»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1077758339724,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7714704830)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«Гидропроект-Алтай»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1042202161540,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2224085117)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«Ундина»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1083906004181,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3907062340)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«СМУ-Дондорстрой»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1066164171050,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6164248080)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Открытого акционерного общества «Донаэродорстрой»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1026103158730,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6163002069)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2.6.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«ЛенТехСтрой»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1089847353672,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7841394780)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2.7.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«СтройПласт-Юг»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1072646002110,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2624030930)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2.8.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Строительно-Торговая Компания «Стройсити»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1075405029952,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5405360240)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2.9.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«ВЕЛЕС»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1027802761370,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7805129754)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27 апреля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