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июня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Акционерное общество «ТоннельМетроСтрой»</w:t>
      </w:r>
      <w:r w:rsidR="00B9210B" w:rsidRPr="00241327">
        <w:rPr>
          <w:sz w:val="22"/>
          <w:szCs w:val="22"/>
          <w:lang w:val="en-US"/>
        </w:rPr>
        <w:t xml:space="preserve"> (ОГРН 1237800047803,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7813671992)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Акционерного общества «ТоннельМетроСтрой»</w:t>
      </w:r>
      <w:r w:rsidRPr="00496A50">
        <w:rPr>
          <w:sz w:val="22"/>
          <w:szCs w:val="22"/>
        </w:rPr>
        <w:t xml:space="preserve"> (ОГРН 1237800047803,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7813671992)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Акционерного общества «ТоннельМетроСтрой»</w:t>
      </w:r>
      <w:r w:rsidRPr="00823293">
        <w:rPr>
          <w:sz w:val="22"/>
          <w:szCs w:val="22"/>
        </w:rPr>
        <w:t xml:space="preserve"> (ОГРН 1237800047803, ИНН 7813671992) по обязательствам по договорам строительного подряда,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июня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