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5B9" w:rsidRPr="00DD6530" w:rsidRDefault="00D475B9" w:rsidP="00D475B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D475B9" w:rsidRPr="00DD6530" w:rsidRDefault="00D475B9" w:rsidP="00D475B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D475B9" w:rsidRPr="00DD6530" w:rsidRDefault="00D475B9" w:rsidP="00D475B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D475B9" w:rsidRDefault="00D475B9" w:rsidP="00D475B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D475B9" w:rsidRDefault="00D475B9" w:rsidP="00D475B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CC42DB" w:rsidRPr="00CC42DB" w:rsidRDefault="00CC42DB" w:rsidP="00CC42DB">
      <w:pPr>
        <w:jc w:val="right"/>
        <w:rPr>
          <w:iCs/>
          <w:sz w:val="24"/>
          <w:szCs w:val="24"/>
        </w:rPr>
      </w:pPr>
    </w:p>
    <w:p w:rsidR="00CC42DB" w:rsidRPr="00CC42DB" w:rsidRDefault="00CC42DB" w:rsidP="00CC42DB">
      <w:pPr>
        <w:jc w:val="right"/>
        <w:rPr>
          <w:iCs/>
          <w:sz w:val="24"/>
          <w:szCs w:val="24"/>
        </w:rPr>
      </w:pPr>
    </w:p>
    <w:p w:rsidR="00CC42DB" w:rsidRPr="00CC42DB" w:rsidRDefault="00CC42DB" w:rsidP="00CC42DB">
      <w:pPr>
        <w:jc w:val="right"/>
        <w:rPr>
          <w:iCs/>
          <w:sz w:val="24"/>
          <w:szCs w:val="24"/>
        </w:rPr>
      </w:pPr>
    </w:p>
    <w:p w:rsidR="00CC42DB" w:rsidRPr="00CC42DB" w:rsidRDefault="00CC42DB" w:rsidP="00CC42DB">
      <w:pPr>
        <w:jc w:val="right"/>
        <w:rPr>
          <w:iCs/>
          <w:sz w:val="24"/>
          <w:szCs w:val="24"/>
        </w:rPr>
      </w:pPr>
    </w:p>
    <w:p w:rsidR="00CC42DB" w:rsidRPr="00CC42DB" w:rsidRDefault="00CC42DB" w:rsidP="00CC42DB">
      <w:pPr>
        <w:jc w:val="right"/>
        <w:rPr>
          <w:iCs/>
          <w:sz w:val="24"/>
          <w:szCs w:val="24"/>
        </w:rPr>
      </w:pPr>
    </w:p>
    <w:p w:rsidR="00CC42DB" w:rsidRPr="00CC42DB" w:rsidRDefault="00CC42DB" w:rsidP="00CC42DB">
      <w:pPr>
        <w:jc w:val="right"/>
        <w:rPr>
          <w:iCs/>
          <w:sz w:val="24"/>
          <w:szCs w:val="24"/>
        </w:rPr>
      </w:pPr>
    </w:p>
    <w:p w:rsidR="00CC42DB" w:rsidRPr="00CC42DB" w:rsidRDefault="00CC42DB" w:rsidP="00CC42DB">
      <w:pPr>
        <w:jc w:val="right"/>
        <w:rPr>
          <w:iCs/>
          <w:sz w:val="24"/>
          <w:szCs w:val="24"/>
        </w:rPr>
      </w:pPr>
    </w:p>
    <w:p w:rsidR="00CC42DB" w:rsidRPr="00CC42DB" w:rsidRDefault="00CC42DB" w:rsidP="00CC42DB">
      <w:pPr>
        <w:jc w:val="right"/>
        <w:rPr>
          <w:iCs/>
          <w:sz w:val="24"/>
          <w:szCs w:val="24"/>
        </w:rPr>
      </w:pPr>
    </w:p>
    <w:p w:rsidR="00CC42DB" w:rsidRPr="00CC42DB" w:rsidRDefault="00CC42DB" w:rsidP="00CC42DB">
      <w:pPr>
        <w:jc w:val="right"/>
        <w:rPr>
          <w:iCs/>
          <w:sz w:val="24"/>
          <w:szCs w:val="24"/>
        </w:rPr>
      </w:pPr>
    </w:p>
    <w:p w:rsidR="00CC42DB" w:rsidRPr="00CC42DB" w:rsidRDefault="00CC42DB" w:rsidP="00CC42DB">
      <w:pPr>
        <w:jc w:val="right"/>
        <w:rPr>
          <w:iCs/>
          <w:sz w:val="24"/>
          <w:szCs w:val="24"/>
        </w:rPr>
      </w:pPr>
    </w:p>
    <w:p w:rsidR="00CC42DB" w:rsidRPr="00CC42DB" w:rsidRDefault="00CC42DB" w:rsidP="00CC42DB">
      <w:pPr>
        <w:jc w:val="right"/>
        <w:rPr>
          <w:iCs/>
          <w:sz w:val="24"/>
          <w:szCs w:val="24"/>
        </w:rPr>
      </w:pPr>
    </w:p>
    <w:p w:rsidR="00CC42DB" w:rsidRPr="00CC42DB" w:rsidRDefault="00CC42DB" w:rsidP="00CC42DB">
      <w:pPr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jc w:val="right"/>
        <w:rPr>
          <w:iCs/>
          <w:sz w:val="24"/>
          <w:szCs w:val="24"/>
        </w:rPr>
      </w:pPr>
      <w:bookmarkStart w:id="0" w:name="_GoBack"/>
      <w:bookmarkEnd w:id="0"/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277115">
        <w:rPr>
          <w:b/>
          <w:sz w:val="24"/>
          <w:szCs w:val="24"/>
        </w:rPr>
        <w:t>6</w:t>
      </w:r>
      <w:r w:rsidRPr="00EE2707">
        <w:rPr>
          <w:sz w:val="24"/>
          <w:szCs w:val="24"/>
        </w:rPr>
        <w:t>:</w:t>
      </w:r>
    </w:p>
    <w:p w:rsidR="00EE2707" w:rsidRPr="00FC6AD0" w:rsidRDefault="00277115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6</w:t>
      </w:r>
      <w:r w:rsidR="00232F66">
        <w:rPr>
          <w:b/>
          <w:sz w:val="24"/>
          <w:szCs w:val="24"/>
        </w:rPr>
        <w:t>.</w:t>
      </w:r>
      <w:r w:rsidR="008D0156">
        <w:rPr>
          <w:b/>
          <w:sz w:val="24"/>
          <w:szCs w:val="24"/>
        </w:rPr>
        <w:t>9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8D0156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 объектов сбора, обработки, хранения, переработки и утилизации отходов и их комплексов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D747E4">
        <w:rPr>
          <w:sz w:val="24"/>
          <w:szCs w:val="24"/>
        </w:rPr>
        <w:t>работам</w:t>
      </w:r>
      <w:r w:rsidR="00D747E4" w:rsidRPr="00302D5D">
        <w:rPr>
          <w:sz w:val="24"/>
          <w:szCs w:val="24"/>
        </w:rPr>
        <w:t xml:space="preserve"> </w:t>
      </w:r>
      <w:r w:rsidR="008D0156" w:rsidRPr="00302D5D">
        <w:rPr>
          <w:sz w:val="24"/>
          <w:szCs w:val="24"/>
        </w:rPr>
        <w:t>по подготовке технологических решений объектов сбора, обработки, хранения, переработки и утилизации отходов и их комплексов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913" w:rsidRDefault="00941913">
      <w:r>
        <w:separator/>
      </w:r>
    </w:p>
  </w:endnote>
  <w:endnote w:type="continuationSeparator" w:id="0">
    <w:p w:rsidR="00941913" w:rsidRDefault="0094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CC42DB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42DB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CC42DB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913" w:rsidRDefault="00941913">
      <w:r>
        <w:separator/>
      </w:r>
    </w:p>
  </w:footnote>
  <w:footnote w:type="continuationSeparator" w:id="0">
    <w:p w:rsidR="00941913" w:rsidRDefault="00941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CC42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735F4"/>
    <w:rsid w:val="00074277"/>
    <w:rsid w:val="000A36C8"/>
    <w:rsid w:val="000B2F4B"/>
    <w:rsid w:val="000C4502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C4A6D"/>
    <w:rsid w:val="003C7ED4"/>
    <w:rsid w:val="003D7D18"/>
    <w:rsid w:val="003E5A73"/>
    <w:rsid w:val="003E6A15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5A30BD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228CF"/>
    <w:rsid w:val="007421C6"/>
    <w:rsid w:val="007552E3"/>
    <w:rsid w:val="00781BA8"/>
    <w:rsid w:val="00795DC7"/>
    <w:rsid w:val="007A371F"/>
    <w:rsid w:val="007A49BD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55F64"/>
    <w:rsid w:val="00C7325A"/>
    <w:rsid w:val="00C9721D"/>
    <w:rsid w:val="00CB259E"/>
    <w:rsid w:val="00CC42DB"/>
    <w:rsid w:val="00CE0858"/>
    <w:rsid w:val="00D03671"/>
    <w:rsid w:val="00D1489C"/>
    <w:rsid w:val="00D36BB5"/>
    <w:rsid w:val="00D475B9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31</cp:revision>
  <dcterms:created xsi:type="dcterms:W3CDTF">2011-07-08T05:28:00Z</dcterms:created>
  <dcterms:modified xsi:type="dcterms:W3CDTF">2014-08-08T05:59:00Z</dcterms:modified>
</cp:coreProperties>
</file>