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«Усинский нефтеперерабатывающий завод»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1051100788650,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1106019606)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«СТРОЙТРАНС»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1069847504198,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7810081561)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«СоюзПетроСервис»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1047839012869,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7840014890)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«Служба заказчика Зеленоградского района»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1053909026082,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3918027065)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«МК-Альянс»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1079847050524,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7813367199)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«Технадзор»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1066164174570,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6164248604)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«Искитимспецмонтаж»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1115483001182,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5446013133)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1036604392461,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6662007834)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1063906075639,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3906151646)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1086164009986,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6164283849)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«Ремонтно-Строительное Управление «МАСТЕР»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1099847022912,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7813459795)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«Всевлесстрой»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1034700557000,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4703062174)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«ДонЕвроСтрой»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1066150029659,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Научно-производственное объединение «ОРИОН - АКВА»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1035402456407,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5406154667)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«БСК-плюс»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1083925012786,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3904601515)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«Енисей»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1025202195941,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5254022399)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1077847599917,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7816423814)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«СтройТон-М»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1072302000550,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2302054366)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«Северо-Кавказский Завод Металлоконструкций»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1082357000241,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2357006876)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