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архитектурно-строительного проектирования и экспертно-технического сопровождения»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1107847166470,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7841426752)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 «ЭРФИКС»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1027810260928,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7826675320)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«А2-проект»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1076670014706,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6670173352)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