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35/2012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13 апреля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«КомплектДАН»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1116183003133,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6150067968)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«Элитстрой-Онгудай»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1080404000533,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0404007530)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«ПитерСтрой»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1089848020811,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7842397173)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«УралСтройМонтаж»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1069659054410,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6659141773)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3.4.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«Дорожник»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1076130000187,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6130703630)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3.5.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«Акфен-бетонстрой»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1073905012411,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3905082982)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3.6.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«ГРАНД»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1069847131640,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7804335923)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3.7.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«Комплекс-НефтеГазСтрой»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1103443000429,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3443096152)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3.8.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«Петротехнология»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1089847051392,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7810505179)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13 апреля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