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«СК Промэнергоблок»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1117847571049,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7811508895)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«Аверс»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1085402022727,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5402506068)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СК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1125476000561,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5406696540)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«Арт-Строй»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1103459001326,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3442108616)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«Квадро-Блок»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1037808029192,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7804166993)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1052202161110,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2224091576)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«Мобайл Е1»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1075403004731,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5403194252)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«ДАК»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1027806879682,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7813140208)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3.8.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«Модуль-монтаж»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1103443001507,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3443097300)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«Энергия»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1057812329321,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7838332374)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27.03.2012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