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1096183003993,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6150061821)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«Агро-Сервис»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1095908000594,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5908043015)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1046122002453,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6122008061)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«Светремстрой»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1106183002694,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6150064340)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«АС-РемСтрой»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1096165004814,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6165158255)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1027810261160,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7812006023)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«Партнёр-кабельные системы»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1022200901117,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2221051889)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24.01.2012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Закрытым акционерным обществом «АНИС»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1089847308440,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7841392430)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С-098-7841392430-28122009-107/3,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Закрытое акционерное общество «АНИС»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1089847308440,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7841392430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«Свет-Системы»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1077847580260,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7817310845)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С-098-7817310845-29122009-118/2,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«Свет-Системы»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1077847580260,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7817310845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«Монолитстрой»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1089847216359,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7806388744)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С-098-7806388744-29122009-119/3,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«Строительная Компания «Монолитстрой»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1089847216359,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7806388744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«СтройТранс»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1027810244527,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7826062740)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С-098-7826062740-29122009-114/2,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«СтройТранс»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1027810244527,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7826062740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«Стройхитпроект»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1089847151580,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7805459174)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С-098-7805459174-29122009-121/3,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«Стройхитпроект»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1089847151580,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7805459174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«Строитель»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1096166000116,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6166068501)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С-061-6166068501-08022010-259/2,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«Строитель»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1096166000116,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6166068501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«Питеркапстрой»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1107847006739,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7801511659)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С-098-7801511659-11062010-658/2,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«Питеркапстрой»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1107847006739,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7801511659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25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