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1089847113135,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7811401655)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«Вега-777»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1023901646922,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3907027916)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1079847123597,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7814392871)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«РемСтрой 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1102223011131,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2223579184)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«СистемаСтрой»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1072221002050,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2221124142)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«ПромСтрой»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1079847121903,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7810498612)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С-098-7810498612-16122009-041/3,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«ПромСтрой»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1079847121903,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7810498612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«О.С.Т - Балтик»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1097847234759,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7810562709)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С-098-7810562709-28012010-196/2,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«О.С.Т - Балтик»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1097847234759,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7810562709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14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