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«СПбПроектРеставрация»</w:t>
      </w:r>
      <w:r w:rsidR="00B9210B" w:rsidRPr="00241327">
        <w:rPr>
          <w:sz w:val="22"/>
          <w:szCs w:val="22"/>
          <w:lang w:val="en-US"/>
        </w:rPr>
        <w:t xml:space="preserve"> (ОГРН 1167847460263,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7841049159)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«СПбПроектРеставрация»</w:t>
      </w:r>
      <w:r w:rsidRPr="00496A50">
        <w:rPr>
          <w:sz w:val="22"/>
          <w:szCs w:val="22"/>
        </w:rPr>
        <w:t xml:space="preserve"> (ОГРН 1167847460263,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7841049159)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«СПбПроектРеставрация»</w:t>
      </w:r>
      <w:r w:rsidRPr="00823293">
        <w:rPr>
          <w:sz w:val="22"/>
          <w:szCs w:val="22"/>
        </w:rPr>
        <w:t xml:space="preserve"> (ОГРН 1167847460263, ИНН 7841049159)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