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1085404024738,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5404371063)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 Энерго Строй 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1083460004022,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3446030470)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«Визир»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1107746816539,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7724762937)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«СТРОЙПРАКТИКА»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1077762491982,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7724639813)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«Корпорация ЛенАэроПроект»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1077847635546,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7839367404)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«СтройГАЗ-Проект»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1062224062504,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2224101496)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1082221002137,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2221132087)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«ЭКОИНЖИНИРИНГ»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5067847138486,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7801412344)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«ПромЭнергоПроект»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1089848009668,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7804402425)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«ИНТЕГРИРОВАННЫЕ СИСТЕМЫ БЕЗОПАСНОСТИ»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1069847129747,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7811343026)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«ГЕО-Инжиниринг»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1077847427855,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7816416158)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«ТехСтройСвязь»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1085401004480,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5401305129)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фирма «ДомИнвестСтрой»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1076027010036,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6027108362)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«ИТ Сети»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5067847575714,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7838368758)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1102204000733,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2245004341)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«Исток»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1026102061941,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6145005966)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ПО ПРОЕКТИРОВАНИЮ ОБЪЕКТОВ ВОДОХОЗЯЙСТВЕННОГО И МЕЛИОРАТИВНОГО НАЗНАЧЕНИЯ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1022201511463,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2224000748)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«ЭКОпроект»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1077203008244,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7202159011)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30.12.2010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30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