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ма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42174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171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ВНЕШЛЕН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244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301970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ЮгКаркас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32751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507629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2 ма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