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ег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177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483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48382-24052010-62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ега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177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483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НИК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4440042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448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44810-04042014-102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ЮНИК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4440042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448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еста Строительные проект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98470152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3737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537376-11042011-80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еста Строительные проект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98470152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3737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КОНТ 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2450010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24500287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2-3245002875-22032013-965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КОНТ 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2450010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24500287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Индивидуальным предпринимателем Анищенко Еленой Викторовной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52302199000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5701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3570145-20032013-96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Индивидуальный предприниматель Анищенко Елена Викторовна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ИП 3052302199000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5701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Т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336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4205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420550-02062010-64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Т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336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4205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окомотив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4002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406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40689-13042011-81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окомотив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4002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406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НефтеГазАвтомати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44300137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34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3103480-13042011-81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гоНефтеГазАвтоматик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344300137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34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